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II 447</w:t>
      </w:r>
    </w:p>
    <w:p>
      <w:r>
        <w:t>Bundesgericht (BGE), 1965-01-20, FR</w:t>
      </w:r>
    </w:p>
    <w:p>
      <w:r>
        <w:rPr>
          <w:b/>
        </w:rPr>
        <w:t xml:space="preserve">Quelle: </w:t>
      </w:r>
      <w:r>
        <w:t>https://mcp.opencaselaw.ch/entscheid/bge_96 II 447</w:t>
      </w:r>
    </w:p>
    <w:p>
      <w:r>
        <w:t>FR: ATF 96 II 447</w:t>
      </w:r>
    </w:p>
    <w:p>
      <w:r>
        <w:t>IT: DTF 96 II 447</w:t>
      </w:r>
    </w:p>
    <w:p>
      <w:pPr>
        <w:pStyle w:val="Heading2"/>
      </w:pPr>
      <w:r>
        <w:t>Regeste</w:t>
      </w:r>
    </w:p>
    <w:p>
      <w:r>
        <w:t>Regeste Art. 48 OG. Der Entscheid, durch den das Genfer Strafgericht nach einem Urteil über die Strafklage die zivilrechtlichen Begehren wegen Rechtshängigkeit für unzulässig erklärt, ist ein Endentscheid. Art. 43 Abs. 1 und 2 OG. Die Einrede der Rechtshängigkeit gehört grundsätzlich dem kantonalen Verfahrensrecht an. Ob gestützt auf das Bundesstrafrecht erhobene Klagen ihrem Gegenstand nach übereinstimmen, ist indes eine Frage des materiellen Rechts; das Bundesgericht kann sie daher prüfen.</w:t>
      </w:r>
    </w:p>
    <w:p>
      <w:pPr>
        <w:pStyle w:val="Heading2"/>
      </w:pPr>
      <w:r>
        <w:t>Erwägungen</w:t>
      </w:r>
    </w:p>
    <w:p>
      <w:r>
        <w:rPr>
          <w:b/>
        </w:rPr>
        <w:t>E. 1</w:t>
      </w:r>
    </w:p>
    <w:p>
      <w:r>
        <w:t>La décision déférée est finale au sens de l'art. 48 OJ. Elle met fin à une procédure tendant à faire régler par le juge, à titre de définitif et permanent, des rapports de droit civil (RO 80 I 264). La Cour correctionnelle de Genève est la dernière instance du canton (Titres V et VI OJ gen.). Aucune voie de recours ordinaire n'est ouverte contre ses arrêts (cf. RO 85 II 285 et cit.). Le pourvoi en cassation de l'art. 437 PP gen., exception faite de l'hypothèse d'une violation de la loi pénale, ne vise que des irrégularités de procédure. Cette disposition ne laisse aucune place à un recours pour violation de la loi civile. Le recours en réforme déposé répond donc aux exigences de l'art. 48 OJ.</w:t>
      </w:r>
    </w:p>
    <w:p>
      <w:r>
        <w:rPr>
          <w:b/>
        </w:rPr>
        <w:t>E. 2</w:t>
      </w:r>
    </w:p>
    <w:p>
      <w:r>
        <w:t>a) Selon l'art. 43 al. 1 et 2 OJ, le recours en réforme est recevable pour violation du droit fédéral, c'est-à-dire lorsqu'un principe consacré expressément par une prescription fédérale ou découlant implicitement de ses dispositions n'a pas été appliqué ou a reçu une fausse application. En principe, l'exception de litispendance relève du droit cantonal de procédure. Toutefois, la décision prise a pour effet de paralyser l'exercice d'une action garantie par le droit civil fédéral lorsque la demande est écartée préjudiciellement pour ce motif. Conséquemment, le Tribunal fédéral a jugé que la question de l'identité quant à l'objet des demandes fondées sur le droit fédéral relève du fond du droit et qu'il peut l'examiner (RO 80 I 262; 85 II 83 ; cf. aussi la jurisprudence relative à l'autorité de la chose jugée, où le problème se pose en des BGE 96 II 447 S. 450 termes analogues: RO 75 II 290 et consid. 2 non publié de l'arrêt Küng, IIe Cour civile, 4 décembre 1969). En revanche, lorsque le débat porte sur la forme en laquelle l'exception doit être présentée, ou sur le choix que la juridiction ou la loi cantonale font quant à celle des instances à laquelle il doit être suivi, ces griefs sont du seul ressort de la procédure cantonale et ne peuvent fonder un recours en réforme. b) En l'espèce, les recourants ne contestent ni l'identité des demandes, ni celle des parties. Ils soutiennent en premier lieu que, selon le droit de procédure genevois, l'existence d'une action civile séparée n'interdit pas au lésé de se constituer partie civile devant le juge pénal et que, dans ce cas, l'action civile est suspendue, c'est-à-dire paralysée, aussi longtemps que l'action pénale n'a pas été vidée et que le prononcé intervenu sur les conclusions civiles n'a pas acquis l'autorité de la chose jugée pour le tribunal civil. Il ne saurait donc y avoir de litispendance là où l'une des actions en présence est paralysée. En second lieu, les recourants font valoir que l'exception de litispendance a été soulevée tardivement. A supposer qu'elle soit fondée, leur partie adverse aurait dû en exciper déjà à partir du 15 juin 1964. Ils estiment que la qualité de partie civile donne au justiciable le droit de prendre des conclusions civiles et impose au tribunal pénal l'obligation de les juger. Les recourants reprochent enfin à la décision déférée de les placer devant une alternative inacceptable: ou bien ils se portent parties civiles et doivent renoncer aux saisies provisionnelles de la LP, ou bien ils agissent par la voie du séquestre validé par l'action civile et ils perdent du même coup l'espoir de voir le tribunal pénal statuer sur leurs conclusions civiles. Dans cette dernière hypothèse, l'action civile serait paralysée durant l'action pénale sans profit pour le demandeur, puisque le juge civil restè libre d'ignorer complètement le jugement pénal en vertu de l'art. 53 CO. Ces critiques relèvent exclusivement du droit cantonal de procédure. Elles ont trait à l'organisation du procès, à la forme dans laquelle l'exception de litispendance doit être présentée et au choix de l'instance à laquelle il doit être suivi. Au surplus, les recourants ne sauraient prétendre que la décision déférée les prive de l'exercice d'une action garantie par le droit fédéral, du moment que la Cour correctionnelle a constaté souverainement que l'instance civile, introduite avant le procès pénal et dont l'instruction seule a été suspendue, demeure pendante. BGE 96 II 447 S. 451 Le recours n'est donc pas recevable.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